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cda50498e8ca563c1157e29e20d08694b2d9c9"/>
    <w:p>
      <w:pPr>
        <w:pStyle w:val="Heading3"/>
      </w:pPr>
      <w:r>
        <w:t xml:space="preserve">Порядок действий должностных лиц и персонала организаций при получении сообщений, содержащих угрозы террористического характера</w:t>
      </w:r>
    </w:p>
    <w:p>
      <w:pPr>
        <w:pStyle w:val="FirstParagraph"/>
      </w:pPr>
      <w:r>
        <w:t xml:space="preserve">26.07.2018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http://kosino-uhtomski.mos.ru/counter-terrorism/the-order-of-actions-of-officials-and-staff-organizations-in-the-event-of-threats-of-a-terrorist-act/detail/7472401.html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counter-terrorism/the-order-of-actions-of-officials-and-staff-organizations-in-the-event-of-threats-of-a-terrorist-act/detail/74724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counter-terrorism/the-order-of-actions-of-officials-and-staff-organizations-in-the-event-of-threats-of-a-terrorist-act/detail/74724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2025-02-28T22:00:43Z</dcterms:created>
  <dcterms:modified xsi:type="dcterms:W3CDTF">2025-02-28T22:00:43Z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