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c497f5dbda81b285078564e70e9944a60448"/>
    <w:p>
      <w:pPr>
        <w:pStyle w:val="Heading3"/>
      </w:pPr>
      <w:r>
        <w:t xml:space="preserve">Административная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bCs/>
          <w:b/>
        </w:rPr>
        <w:t xml:space="preserve">Административная ответственность за нарушение требований</w:t>
      </w:r>
    </w:p>
    <w:p>
      <w:pPr>
        <w:pStyle w:val="BodyText"/>
      </w:pPr>
      <w:r>
        <w:rPr>
          <w:bCs/>
          <w:b/>
        </w:rPr>
        <w:t xml:space="preserve">к антитеррористической защищенности объектов (территорий)</w:t>
      </w:r>
    </w:p>
    <w:p>
      <w:pPr>
        <w:pStyle w:val="BodyText"/>
      </w:pPr>
      <w:r>
        <w:t xml:space="preserve"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>
      <w:pPr>
        <w:pStyle w:val="BodyText"/>
      </w:pPr>
      <w:r>
        <w:t xml:space="preserve"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>
      <w:pPr>
        <w:pStyle w:val="BodyText"/>
      </w:pPr>
      <w:r>
        <w:t xml:space="preserve"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глава 20 Кодекса Российской Федерации об административных правонарушениях (далее – КоАП РФ, Кодекс) дополнена статьей 20.35, частью 1 которой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>
      <w:pPr>
        <w:pStyle w:val="BodyText"/>
      </w:pPr>
      <w:r>
        <w:t xml:space="preserve"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>
      <w:pPr>
        <w:pStyle w:val="BodyText"/>
      </w:pPr>
      <w:r>
        <w:t xml:space="preserve">Законом предусмотрено, что положения части 2 статьи 20.35 КоАП РФ вступают в силу с 1 мая 2020 года.</w:t>
      </w:r>
    </w:p>
    <w:p>
      <w:pPr>
        <w:pStyle w:val="BodyText"/>
      </w:pPr>
      <w:r>
        <w:t xml:space="preserve"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>
      <w:pPr>
        <w:pStyle w:val="BodyText"/>
      </w:pPr>
      <w:r>
        <w:t xml:space="preserve"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http://kosino-uhtomski.mos.ru/counter-terrorism/the-legal-basis-of-combating-terrorism-and-extremism-/detail/9048787.html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legal-basis-of-combating-terrorism-and-extremism-/detail/9048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legal-basis-of-combating-terrorism-and-extremism-/detail/9048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2025-03-01T23:35:02Z</dcterms:created>
  <dcterms:modified xsi:type="dcterms:W3CDTF">2025-03-01T23:35:02Z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