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экстремизма"/>
    <w:p>
      <w:pPr>
        <w:pStyle w:val="Heading3"/>
      </w:pPr>
      <w:r>
        <w:t xml:space="preserve">Профилактика экстремизма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t xml:space="preserve">Различают следующие виды экстремизма: • политический • национальный • религиозный Национальный экстремизм выступает под лозунгами защиты «своего народа», его экономических интересов, культурных ценностей, как правило, в ущерб представителей других национальностей, проживающих на этой же территории. Под религиозным экстремизмом понимают нетерпимость по отношению к инакомыслящим представителям той же или другой религий. В последние годы обострилась проблема исламского экстремизма. Политический экстремизм – это движения или течения против существующего конституционного строя. На сегодняшний день экстремизм является реальной угрозой национальной безопасности Российской Федерации. Наблюдается увеличение неформальных молодежных движений экстремистской направленности. В настоящее время членами неформальных молодежных организаций (группировок) экстремистско-националистической направленности являются молодые люди в возрасте от 14 до 30 лет, нередко - несовершеннолетние лица 14 –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http://kosino-uhtomski.mos.ru/counter-terrorism/about-terrorism-and-extremism/detail/11451187.html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about-terrorism-and-extremism/detail/11451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about-terrorism-and-extremism/detail/11451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2025-02-25T11:52:12Z</dcterms:created>
  <dcterms:modified xsi:type="dcterms:W3CDTF">2025-02-25T11:52:12Z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