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токол-7-от-11.07.2018г."/>
    <w:p>
      <w:pPr>
        <w:pStyle w:val="Heading3"/>
      </w:pPr>
      <w:r>
        <w:t xml:space="preserve">Протокол №7 от 11.07.2018г.</w:t>
      </w:r>
    </w:p>
    <w:p>
      <w:pPr>
        <w:pStyle w:val="FirstParagraph"/>
      </w:pPr>
      <w:r>
        <w:t xml:space="preserve">23.08.2018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11.07.2018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bookmarkStart w:id="22" w:name="X1207a264b4c9f4df21fde20366a046b31aef217"/>
            <w:r>
              <w:t xml:space="preserve">ул. 3-го Интернационала, д. 29 (напротив)</w:t>
            </w:r>
            <w:bookmarkEnd w:id="22"/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3-го Интернационала,                 вл. 31В (напротив)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вл. 52Г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http://kosino-uhtomski.mos.ru/construction-and-transport/the-district-commission-to-curb-the-unauthorized-construction-in-the-territory-of-the-vao-g-moskvy/two-hundred-one/detail/7527606.html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construction-and-transport/the-district-commission-to-curb-the-unauthorized-construction-in-the-territory-of-the-vao-g-moskvy/two-hundred-one/detail/7527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construction-and-transport/the-district-commission-to-curb-the-unauthorized-construction-in-the-territory-of-the-vao-g-moskvy/two-hundred-one/detail/7527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2025-04-01T01:33:16Z</dcterms:created>
  <dcterms:modified xsi:type="dcterms:W3CDTF">2025-04-01T01:33:16Z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