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3-от-15.03.2023-г."/>
    <w:p>
      <w:pPr>
        <w:pStyle w:val="Heading3"/>
      </w:pPr>
      <w:r>
        <w:t xml:space="preserve">Протокол №3 от 15.03.2023 г.</w:t>
      </w:r>
    </w:p>
    <w:p>
      <w:pPr>
        <w:pStyle w:val="FirstParagraph"/>
      </w:pPr>
      <w:r>
        <w:t xml:space="preserve">15.05.2023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15.03.2023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вл. 22/2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д. 43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д. 115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Оранжерейная, д. 21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Салтыковская, земельный участок 4Б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http://kosino-uhtomski.mos.ru/construction-and-transport/the-district-commission-to-curb-the-unauthorized-construction-in-the-territory-of-the-vao-g-moskvy/2023/detail/11586180.html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nstruction-and-transport/the-district-commission-to-curb-the-unauthorized-construction-in-the-territory-of-the-vao-g-moskvy/2023/detail/11586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nstruction-and-transport/the-district-commission-to-curb-the-unauthorized-construction-in-the-territory-of-the-vao-g-moskvy/2023/detail/11586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2025-04-01T01:32:20Z</dcterms:created>
  <dcterms:modified xsi:type="dcterms:W3CDTF">2025-04-01T01:32:20Z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