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иказ-111-от-02.07.2020"/>
    <w:p>
      <w:pPr>
        <w:pStyle w:val="Heading3"/>
      </w:pPr>
      <w:r>
        <w:t xml:space="preserve">Приказ 111 от 02.07.2020</w:t>
      </w:r>
    </w:p>
    <w:p>
      <w:pPr>
        <w:pStyle w:val="FirstParagraph"/>
      </w:pPr>
      <w:r>
        <w:t xml:space="preserve">06.08.2020</w:t>
      </w:r>
    </w:p>
    <w:p>
      <w:pPr>
        <w:pStyle w:val="BodyText"/>
      </w:pPr>
      <w:hyperlink r:id="rId20">
        <w:r>
          <w:rPr>
            <w:rStyle w:val="Hyperlink"/>
          </w:rPr>
          <w:t xml:space="preserve">Приказ 111 от 02.07.2020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http://kosino-uhtomski.mos.ru/anti-corruption/the-commission-for-observance-of-requirements-for-the-official-behaviour-of-state-civil-employees-of/detail/9110187.html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99e/prikaz-111-ot-02.07.2020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the-commission-for-observance-of-requirements-for-the-official-behaviour-of-state-civil-employees-of/detail/9110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99e/prikaz-111-ot-02.07.2020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the-commission-for-observance-of-requirements-for-the-official-behaviour-of-state-civil-employees-of/detail/9110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2023-08-18T05:19:30Z</dcterms:created>
  <dcterms:modified xsi:type="dcterms:W3CDTF">2023-08-18T05:19:30Z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