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информация-о-типовых-ситуациях"/>
    <w:p>
      <w:pPr>
        <w:pStyle w:val="Heading3"/>
      </w:pPr>
      <w:r>
        <w:t xml:space="preserve">Информация о типовых ситуациях</w:t>
      </w:r>
    </w:p>
    <w:p>
      <w:pPr>
        <w:pStyle w:val="FirstParagraph"/>
      </w:pPr>
      <w:r>
        <w:t xml:space="preserve">06.08.2020</w:t>
      </w:r>
    </w:p>
    <w:p>
      <w:pPr>
        <w:pStyle w:val="BodyText"/>
      </w:pPr>
      <w:hyperlink r:id="rId20">
        <w:r>
          <w:rPr>
            <w:rStyle w:val="Hyperlink"/>
          </w:rPr>
          <w:t xml:space="preserve">Информация о типовых ситуациях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http://kosino-uhtomski.mos.ru/anti-corruption/methodical-materials/detail/9110215.html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055/informatsiya-o-tipovykh-situatsiyak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102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055/informatsiya-o-tipovykh-situatsiyak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91102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2023-10-10T02:29:23Z</dcterms:created>
  <dcterms:modified xsi:type="dcterms:W3CDTF">2023-10-10T02:29:23Z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