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a08df27ed9e2a84e93d509b057864025ea1a3a"/>
    <w:p>
      <w:pPr>
        <w:pStyle w:val="Heading3"/>
      </w:pPr>
      <w:r>
        <w:t xml:space="preserve">Памятка по соблюдению требований к служебному поведению и урегулированию конфликта интересов</w:t>
      </w:r>
    </w:p>
    <w:p>
      <w:pPr>
        <w:pStyle w:val="FirstParagraph"/>
      </w:pPr>
      <w:r>
        <w:t xml:space="preserve">06.08.2020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 по соблюдению требований к служебному поведению и урегулированию конфликта интересов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http://kosino-uhtomski.mos.ru/anti-corruption/methodical-materials/detail/9109691.html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cdd/pamyatka-po-soblyudeniyu-trebovaniy-k-sluzhebnomu-povedeniyu-i-uregulirovaniyu-konflikta-interesov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91096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cdd/pamyatka-po-soblyudeniyu-trebovaniy-k-sluzhebnomu-povedeniyu-i-uregulirovaniyu-konflikta-interesov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91096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2023-09-15T02:40:30Z</dcterms:created>
  <dcterms:modified xsi:type="dcterms:W3CDTF">2023-09-15T02:40:30Z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