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что-нужно-знать-при-увольнении"/>
    <w:p>
      <w:pPr>
        <w:pStyle w:val="Heading3"/>
      </w:pPr>
      <w:r>
        <w:t xml:space="preserve">Что нужно знать при увольнении</w:t>
      </w:r>
    </w:p>
    <w:p>
      <w:pPr>
        <w:pStyle w:val="FirstParagraph"/>
      </w:pPr>
      <w:r>
        <w:t xml:space="preserve">06.08.2020</w:t>
      </w:r>
    </w:p>
    <w:p>
      <w:pPr>
        <w:pStyle w:val="BodyText"/>
      </w:pPr>
      <w:hyperlink r:id="rId20">
        <w:r>
          <w:rPr>
            <w:rStyle w:val="Hyperlink"/>
          </w:rPr>
          <w:t xml:space="preserve">Что нужно знать при увольнении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http://kosino-uhtomski.mos.ru/anti-corruption/methodical-materials/detail/9109686.html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/medialibrary/9a8/chto-nuzhno-znat-pri-uvolnenii.pdf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anti-corruption/methodical-materials/detail/91096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/medialibrary/9a8/chto-nuzhno-znat-pri-uvolnenii.pdf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anti-corruption/methodical-materials/detail/91096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2023-08-18T05:18:41Z</dcterms:created>
  <dcterms:modified xsi:type="dcterms:W3CDTF">2023-08-18T05:18:41Z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