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67b0bc6b169999d6a36bd1c3e3a49e3be244a0"/>
    <w:p>
      <w:pPr>
        <w:pStyle w:val="Heading3"/>
      </w:pPr>
      <w:r>
        <w:t xml:space="preserve">Кодекс этики и служебного поведения государственных гражданских служащих управы района Косино-Ухтомский города Москвы</w:t>
      </w:r>
    </w:p>
    <w:p>
      <w:pPr>
        <w:pStyle w:val="FirstParagraph"/>
      </w:pPr>
      <w:r>
        <w:t xml:space="preserve">22.05.2017</w:t>
      </w:r>
    </w:p>
    <w:p>
      <w:pPr>
        <w:pStyle w:val="BodyText"/>
      </w:pPr>
      <w:hyperlink r:id="rId20">
        <w:r>
          <w:rPr>
            <w:rStyle w:val="Hyperlink"/>
          </w:rPr>
          <w:t xml:space="preserve">Кодекс этики и служебного поведения государственных гражданских служащих управы района Косино-Ухтомский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http://kosino-uhtomski.mos.ru/anti-corruption/methodical-materials/detail/6008168.html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1d1/kodeks-etiki-i-sluzhebnogo-povedeniya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6008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1d1/kodeks-etiki-i-sluzhebnogo-povedeniya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6008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2025-06-07T06:29:59Z</dcterms:created>
  <dcterms:modified xsi:type="dcterms:W3CDTF">2025-06-07T06:29:59Z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