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df" ContentType="application/pd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babc7e40e019256f8c5b3ae97a6743230eebcc"/>
    <w:p>
      <w:pPr>
        <w:pStyle w:val="Heading3"/>
      </w:pPr>
      <w:r>
        <w:t xml:space="preserve">Методические рекомендации по порядку проведения служебных проверок в управе района Косино-Ухтомский города Москвы</w:t>
      </w:r>
    </w:p>
    <w:p>
      <w:pPr>
        <w:pStyle w:val="FirstParagraph"/>
      </w:pPr>
      <w:r>
        <w:t xml:space="preserve">25.02.2016</w:t>
      </w:r>
    </w:p>
    <w:p>
      <w:pPr>
        <w:pStyle w:val="BodyText"/>
      </w:pPr>
      <w:r>
        <w:drawing>
          <wp:inline>
            <wp:extent cx="5334000" cy="753931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89f/metodika-po-sluzhebnym-proverkam.pd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9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http://kosino-uhtomski.mos.ru/anti-corruption/methodical-materials/detail/2552561.html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df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anti-corruption/methodical-materials/detail/25525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anti-corruption/methodical-materials/detail/25525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2023-08-18T05:18:47Z</dcterms:created>
  <dcterms:modified xsi:type="dcterms:W3CDTF">2023-08-18T05:18:47Z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