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a896e2017468187b613bae812b74ae40453c0d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государственных гражданских служащих управы района Косино-Ухтомский города Москвы за период с 1 января 2020 г. по 31 декабря 2020 г.</w:t>
      </w:r>
    </w:p>
    <w:p>
      <w:pPr>
        <w:pStyle w:val="FirstParagraph"/>
      </w:pPr>
      <w:r>
        <w:t xml:space="preserve">13.05.2021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доходах, расходах, об имуществе и обязательствах имущественного характера государственных гражданских служащих управы района Косино-Ухтомский города Москвы за период с 1 января 2020 г. по 31 декабря 2020 г.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http://kosino-uhtomski.mos.ru/anti-corruption/information-on-income-expenses-about-property-and-obligations-of-property-character/detail/9943271.html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11e/obshchaya-tablitsa-svedeniya-o-dokhodakh-ggs-_1_.docx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anti-corruption/information-on-income-expenses-about-property-and-obligations-of-property-character/detail/99432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11e/obshchaya-tablitsa-svedeniya-o-dokhodakh-ggs-_1_.docx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anti-corruption/information-on-income-expenses-about-property-and-obligations-of-property-character/detail/99432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2025-05-24T03:54:47Z</dcterms:created>
  <dcterms:modified xsi:type="dcterms:W3CDTF">2025-05-24T03:54:47Z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