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9d272600a5ea02c3933a660e90753c736ac4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города Москвы за период с 1 января 2019г. по 31 декабря 2019г.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Сведения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hyperlink w:anchor="X72340937df9ce4c7bf847f08400bceb416ee18a">
        <w:r>
          <w:rPr>
            <w:rStyle w:val="Hyperlink"/>
            <w:bCs/>
            <w:b/>
          </w:rPr>
          <w:t xml:space="preserve">государственных гражданских служащих управы района Косино-Ухтомский города Москвы</w:t>
        </w:r>
      </w:hyperlink>
    </w:p>
    <w:p>
      <w:pPr>
        <w:pStyle w:val="BodyText"/>
      </w:pPr>
      <w:hyperlink w:anchor="X72340937df9ce4c7bf847f08400bceb416ee18a">
        <w:r>
          <w:rPr>
            <w:rStyle w:val="Hyperlink"/>
            <w:bCs/>
            <w:b/>
          </w:rPr>
          <w:t xml:space="preserve">за период с 1 января 2019г. по 31 декабря 2019г.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http://kosino-uhtomski.mos.ru/anti-corruption/information-on-income-expenses-about-property-and-obligations-of-property-character/detail/9110162.html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1c7/obshchaya-tablitsa-svedeniya-o-dokhodakh-ggs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110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c7/obshchaya-tablitsa-svedeniya-o-dokhodakh-ggs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110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2025-07-24T08:41:56Z</dcterms:created>
  <dcterms:modified xsi:type="dcterms:W3CDTF">2025-07-24T08:41:56Z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